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4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16"/>
            </w:pPr>
            <w:r>
              <w:t xml:space="preserve">УТВЕРЖДАЮ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16"/>
            </w:pPr>
            <w:r/>
            <w:r/>
          </w:p>
        </w:tc>
      </w:tr>
      <w:tr>
        <w:tblPrEx/>
        <w:trPr>
          <w:jc w:val="center"/>
          <w:trHeight w:val="642"/>
        </w:trPr>
        <w:tc>
          <w:tcPr>
            <w:tcW w:w="4360" w:type="dxa"/>
            <w:textDirection w:val="lrTb"/>
            <w:noWrap w:val="false"/>
          </w:tcPr>
          <w:p>
            <w:pPr>
              <w:pStyle w:val="987"/>
            </w:pPr>
            <w:r>
              <w:t xml:space="preserve">От Федерального казначейства</w:t>
            </w:r>
            <w:r/>
          </w:p>
          <w:p>
            <w:pPr>
              <w:pStyle w:val="98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  <w:rPr>
                <w:rStyle w:val="1009"/>
              </w:rPr>
            </w:pPr>
            <w:r/>
            <w:r>
              <w:rPr>
                <w:rStyle w:val="1009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  <w:rPr>
                <w:rStyle w:val="1009"/>
              </w:rPr>
            </w:pPr>
            <w:r/>
            <w:r>
              <w:rPr>
                <w:rStyle w:val="1009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rPr>
                <w:rStyle w:val="100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t xml:space="preserve">«</w:t>
            </w:r>
            <w:r>
              <w:rPr>
                <w:rStyle w:val="1009"/>
              </w:rPr>
              <w:t xml:space="preserve">         </w:t>
            </w:r>
            <w:r>
              <w:t xml:space="preserve">»</w:t>
            </w:r>
            <w:r>
              <w:rPr>
                <w:rStyle w:val="1009"/>
              </w:rPr>
              <w:t xml:space="preserve">                </w:t>
            </w:r>
            <w:r>
              <w:rPr>
                <w:rStyle w:val="1009"/>
              </w:rPr>
              <w:t xml:space="preserve">                    </w:t>
            </w:r>
            <w:r>
              <w:t xml:space="preserve">20</w:t>
            </w:r>
            <w:r>
              <w:rPr>
                <w:rStyle w:val="100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</w:tbl>
    <w:p>
      <w:pPr>
        <w:pStyle w:val="982"/>
      </w:pPr>
      <w:r/>
      <w:r/>
    </w:p>
    <w:p>
      <w:pPr>
        <w:pStyle w:val="982"/>
      </w:pPr>
      <w:r/>
      <w:r/>
    </w:p>
    <w:p>
      <w:pPr>
        <w:pStyle w:val="982"/>
      </w:pPr>
      <w:r/>
      <w:r/>
    </w:p>
    <w:p>
      <w:pPr>
        <w:pStyle w:val="995"/>
      </w:pPr>
      <w:r>
        <w:t xml:space="preserve">Наименование информационной системы</w:t>
      </w:r>
      <w:r/>
    </w:p>
    <w:p>
      <w:pPr>
        <w:pStyle w:val="978"/>
      </w:pPr>
      <w:r/>
      <w:r/>
    </w:p>
    <w:p>
      <w:pPr>
        <w:pStyle w:val="996"/>
      </w:pPr>
      <w:r>
        <w:t xml:space="preserve">Руководство по </w:t>
      </w:r>
      <w:r>
        <w:t xml:space="preserve">пуско-наладке системы</w:t>
      </w:r>
      <w:r/>
    </w:p>
    <w:p>
      <w:pPr>
        <w:pStyle w:val="978"/>
      </w:pPr>
      <w:r/>
      <w:r/>
    </w:p>
    <w:p>
      <w:pPr>
        <w:pStyle w:val="996"/>
      </w:pPr>
      <w:r>
        <w:t xml:space="preserve">Лист утверждения</w:t>
      </w:r>
      <w:r/>
    </w:p>
    <w:p>
      <w:pPr>
        <w:pStyle w:val="978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007"/>
        </w:rPr>
        <w:t xml:space="preserve">И</w:t>
      </w:r>
      <w:r>
        <w:rPr>
          <w:rStyle w:val="1007"/>
        </w:rPr>
        <w:t xml:space="preserve">М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78"/>
      </w:pPr>
      <w:r/>
      <w:r/>
    </w:p>
    <w:p>
      <w:pPr>
        <w:pStyle w:val="978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78"/>
      </w:pPr>
      <w:r/>
      <w:r/>
    </w:p>
    <w:p>
      <w:pPr>
        <w:pStyle w:val="978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16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16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87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87"/>
            </w:pPr>
            <w:r>
              <w:t xml:space="preserve">От Организации-исполнителя</w:t>
            </w:r>
            <w:r/>
          </w:p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rPr>
                <w:rStyle w:val="100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rPr>
                <w:rStyle w:val="100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t xml:space="preserve">«</w:t>
            </w:r>
            <w:r>
              <w:rPr>
                <w:rStyle w:val="1009"/>
              </w:rPr>
              <w:t xml:space="preserve">         </w:t>
            </w:r>
            <w:r>
              <w:t xml:space="preserve">»</w:t>
            </w:r>
            <w:r>
              <w:rPr>
                <w:rStyle w:val="1009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00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>
              <w:t xml:space="preserve">«</w:t>
            </w:r>
            <w:r>
              <w:rPr>
                <w:rStyle w:val="1009"/>
              </w:rPr>
              <w:t xml:space="preserve">         </w:t>
            </w:r>
            <w:r>
              <w:t xml:space="preserve">»</w:t>
            </w:r>
            <w:r>
              <w:rPr>
                <w:rStyle w:val="1009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009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78"/>
      </w:pPr>
      <w:r/>
      <w:r/>
    </w:p>
    <w:p>
      <w:pPr>
        <w:pStyle w:val="978"/>
      </w:pPr>
      <w:r/>
      <w:r/>
    </w:p>
    <w:p>
      <w:r/>
      <w:r/>
    </w:p>
    <w:p>
      <w:p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1014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p>
      <w:pPr>
        <w:pStyle w:val="1016"/>
      </w:pPr>
      <w:r>
        <w:t xml:space="preserve">УТВЕРЖД</w:t>
      </w:r>
      <w:r>
        <w:t xml:space="preserve">ЕН</w:t>
      </w:r>
      <w:r/>
    </w:p>
    <w:p>
      <w:pPr>
        <w:pStyle w:val="982"/>
      </w:pPr>
      <w:r>
        <w:t xml:space="preserve">XXXXXXXX.AA.BB,BB.</w:t>
      </w:r>
      <w:r>
        <w:rPr>
          <w:rStyle w:val="1007"/>
        </w:rPr>
        <w:t xml:space="preserve">ИМ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82"/>
      </w:pPr>
      <w:r/>
      <w:r/>
    </w:p>
    <w:p>
      <w:pPr>
        <w:pStyle w:val="982"/>
      </w:pPr>
      <w:r/>
      <w:r/>
    </w:p>
    <w:p>
      <w:pPr>
        <w:pStyle w:val="982"/>
      </w:pPr>
      <w:r/>
      <w:r/>
    </w:p>
    <w:p>
      <w:pPr>
        <w:pStyle w:val="982"/>
      </w:pPr>
      <w:r/>
      <w:r/>
    </w:p>
    <w:p>
      <w:pPr>
        <w:pStyle w:val="982"/>
      </w:pPr>
      <w:r/>
      <w:r/>
    </w:p>
    <w:p>
      <w:pPr>
        <w:pStyle w:val="995"/>
      </w:pPr>
      <w:r>
        <w:t xml:space="preserve">Наименование информационной системы</w:t>
      </w:r>
      <w:r/>
    </w:p>
    <w:p>
      <w:pPr>
        <w:pStyle w:val="978"/>
      </w:pPr>
      <w:r/>
      <w:r/>
    </w:p>
    <w:p>
      <w:pPr>
        <w:pStyle w:val="996"/>
      </w:pPr>
      <w:r>
        <w:t xml:space="preserve">Руководство по </w:t>
      </w:r>
      <w:r>
        <w:t xml:space="preserve">пуско-наладке системы</w:t>
      </w:r>
      <w:r/>
    </w:p>
    <w:p>
      <w:pPr>
        <w:pStyle w:val="978"/>
      </w:pPr>
      <w:r/>
      <w:r/>
    </w:p>
    <w:p>
      <w:pPr>
        <w:pStyle w:val="978"/>
      </w:pPr>
      <w:r>
        <w:t xml:space="preserve">Код документа: </w:t>
      </w:r>
      <w:r>
        <w:t xml:space="preserve">XXXXXXXX.AA.BB,BB.</w:t>
      </w:r>
      <w:r>
        <w:rPr>
          <w:rStyle w:val="1007"/>
        </w:rPr>
        <w:t xml:space="preserve">И</w:t>
      </w:r>
      <w:r>
        <w:rPr>
          <w:rStyle w:val="1007"/>
        </w:rPr>
        <w:t xml:space="preserve">М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978"/>
      </w:pPr>
      <w:r/>
      <w:r/>
    </w:p>
    <w:p>
      <w:pPr>
        <w:pStyle w:val="978"/>
      </w:pPr>
      <w:r>
        <w:t xml:space="preserve">Листов: </w:t>
      </w:r>
      <w:fldSimple w:instr="NUMPAGES \* MERGEFORMAT">
        <w:r>
          <w:t xml:space="preserve">13</w:t>
        </w:r>
      </w:fldSimple>
      <w:r/>
      <w:r/>
    </w:p>
    <w:p>
      <w:pPr>
        <w:pStyle w:val="978"/>
      </w:pPr>
      <w:r/>
      <w:r/>
    </w:p>
    <w:p>
      <w:pPr>
        <w:pStyle w:val="978"/>
      </w:pPr>
      <w:r/>
      <w:r/>
    </w:p>
    <w:p>
      <w:pPr>
        <w:pStyle w:val="978"/>
      </w:pPr>
      <w:r/>
      <w:r/>
    </w:p>
    <w:p>
      <w:pPr>
        <w:pStyle w:val="978"/>
      </w:pPr>
      <w:r/>
      <w:r/>
    </w:p>
    <w:p>
      <w:pPr>
        <w:pStyle w:val="978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16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1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87"/>
            </w:pPr>
            <w:r/>
            <w:r/>
          </w:p>
        </w:tc>
      </w:tr>
    </w:tbl>
    <w:p>
      <w:pPr>
        <w:pStyle w:val="978"/>
      </w:pPr>
      <w:r/>
      <w:r/>
    </w:p>
    <w:p>
      <w:pPr>
        <w:pStyle w:val="978"/>
      </w:pPr>
      <w:r/>
      <w:r/>
    </w:p>
    <w:p>
      <w:pPr>
        <w:pStyle w:val="978"/>
      </w:pPr>
      <w:r/>
      <w:r/>
    </w:p>
    <w:p>
      <w:pPr>
        <w:pStyle w:val="952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982"/>
      </w:pPr>
      <w:r>
        <w:t xml:space="preserve">В </w:t>
      </w:r>
      <w:r>
        <w:t xml:space="preserve">настоящем документе </w:t>
      </w:r>
      <w:r>
        <w:t xml:space="preserve">приводятся требования к разработке </w:t>
      </w:r>
      <w:r>
        <w:t xml:space="preserve">Руководства </w:t>
      </w:r>
      <w:r>
        <w:t xml:space="preserve">по пуско-наладке системы</w:t>
      </w:r>
      <w:r>
        <w:t xml:space="preserve">.</w:t>
      </w:r>
      <w:r/>
    </w:p>
    <w:p>
      <w:pPr>
        <w:pStyle w:val="982"/>
      </w:pPr>
      <w:r>
        <w:t xml:space="preserve">В документе описывается порядок первичной установки и настройки системы, включая указания по монтажу оборудования.</w:t>
      </w:r>
      <w:r/>
    </w:p>
    <w:p>
      <w:pPr>
        <w:pStyle w:val="982"/>
      </w:pPr>
      <w:r>
        <w:t xml:space="preserve">Документ предназначен для использования на этапе проведения пусконаладочных работ, а также администратором в процессе эксплуатации системы в качестве источника сведений по первичной установке и настройке системы</w:t>
      </w:r>
      <w:r>
        <w:t xml:space="preserve">.</w:t>
      </w:r>
      <w:r/>
    </w:p>
    <w:p>
      <w:pPr>
        <w:pStyle w:val="98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82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82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82"/>
        <w:ind w:firstLine="709"/>
      </w:pPr>
      <w:r>
        <w:t xml:space="preserve">Перечень области применения документа:</w:t>
      </w:r>
      <w:r/>
    </w:p>
    <w:p>
      <w:pPr>
        <w:pStyle w:val="982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982"/>
      </w:pPr>
      <w:r/>
      <w:r/>
    </w:p>
    <w:p>
      <w:pPr>
        <w:pStyle w:val="952"/>
      </w:pPr>
      <w:r>
        <w:br w:type="page" w:clear="all"/>
      </w:r>
      <w:r>
        <w:t xml:space="preserve">Содержание</w:t>
      </w:r>
      <w:r>
        <w:fldChar w:fldCharType="begin"/>
      </w:r>
      <w:r>
        <w:instrText xml:space="preserve"> TOC \h \z \t "Заголовок 1;1;Заголовок 2;2;Заголовок 3;3;Заголовок приложения;1" </w:instrText>
      </w:r>
      <w:r>
        <w:fldChar w:fldCharType="separate"/>
      </w:r>
      <w:r/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097" w:anchor="_Toc448743097" w:history="1">
        <w:r>
          <w:t xml:space="preserve">1 Общие положения</w:t>
        </w:r>
        <w:r>
          <w:tab/>
        </w:r>
        <w:r>
          <w:fldChar w:fldCharType="begin"/>
        </w:r>
        <w:r>
          <w:instrText xml:space="preserve"> PAGEREF _Toc448743097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098" w:anchor="_Toc448743098" w:history="1">
        <w:r>
          <w:t xml:space="preserve">2 Подготовка к началу работ</w:t>
        </w:r>
        <w:r>
          <w:tab/>
        </w:r>
        <w:r>
          <w:fldChar w:fldCharType="begin"/>
        </w:r>
        <w:r>
          <w:instrText xml:space="preserve"> PAGEREF _Toc448743098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099" w:anchor="_Toc448743099" w:history="1">
        <w:r>
          <w:t xml:space="preserve">3 Указания по автономной наладке ИС</w:t>
        </w:r>
        <w:r>
          <w:tab/>
        </w:r>
        <w:r>
          <w:fldChar w:fldCharType="begin"/>
        </w:r>
        <w:r>
          <w:instrText xml:space="preserve"> PAGEREF _Toc448743099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100" w:anchor="_Toc448743100" w:history="1">
        <w:r>
          <w:t xml:space="preserve">4 Указания по комплексной наладке ИС</w:t>
        </w:r>
        <w:r>
          <w:tab/>
        </w:r>
        <w:r>
          <w:fldChar w:fldCharType="begin"/>
        </w:r>
        <w:r>
          <w:instrText xml:space="preserve"> PAGEREF _Toc448743100 \h </w:instrText>
        </w:r>
        <w:r/>
        <w:r>
          <w:fldChar w:fldCharType="separate"/>
        </w:r>
        <w:r>
          <w:t xml:space="preserve">9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101" w:anchor="_Toc448743101" w:history="1">
        <w:r>
          <w:t xml:space="preserve">5 Окончание работ</w:t>
        </w:r>
        <w:r>
          <w:tab/>
        </w:r>
        <w:r>
          <w:fldChar w:fldCharType="begin"/>
        </w:r>
        <w:r>
          <w:instrText xml:space="preserve"> PAGEREF _Toc448743101 \h </w:instrText>
        </w:r>
        <w:r/>
        <w:r>
          <w:fldChar w:fldCharType="separate"/>
        </w:r>
        <w:r>
          <w:t xml:space="preserve">10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102" w:anchor="_Toc448743102" w:history="1">
        <w:r>
          <w:t xml:space="preserve">Приложение 1. Таблица соединений и подключений</w:t>
        </w:r>
        <w:r>
          <w:tab/>
        </w:r>
        <w:r>
          <w:fldChar w:fldCharType="begin"/>
        </w:r>
        <w:r>
          <w:instrText xml:space="preserve"> PAGEREF _Toc448743102 \h </w:instrText>
        </w:r>
        <w:r/>
        <w:r>
          <w:fldChar w:fldCharType="separate"/>
        </w:r>
        <w:r>
          <w:t xml:space="preserve">11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58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8743103" w:anchor="_Toc448743103" w:history="1">
        <w:r>
          <w:t xml:space="preserve">Приложение 2. План расположения оборудования и проводок</w:t>
        </w:r>
        <w:r>
          <w:tab/>
        </w:r>
        <w:r>
          <w:fldChar w:fldCharType="begin"/>
        </w:r>
        <w:r>
          <w:instrText xml:space="preserve"> PAGEREF _Toc448743103 \h </w:instrText>
        </w:r>
        <w:r/>
        <w:r>
          <w:fldChar w:fldCharType="separate"/>
        </w:r>
        <w:r>
          <w:t xml:space="preserve">11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952"/>
      </w:pPr>
      <w:r>
        <w:br w:type="page" w:clear="all"/>
      </w:r>
      <w:r>
        <w:t xml:space="preserve">Перечень таблиц</w:t>
      </w:r>
      <w:r/>
    </w:p>
    <w:p>
      <w:pPr>
        <w:pStyle w:val="982"/>
      </w:pPr>
      <w:r/>
      <w:fldSimple w:instr="TOC \h \z \c &quot;Табл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pPr>
        <w:pStyle w:val="952"/>
      </w:pPr>
      <w:r>
        <w:t xml:space="preserve">Перечень рисунков</w:t>
      </w:r>
      <w:r/>
    </w:p>
    <w:p>
      <w:pPr>
        <w:pStyle w:val="982"/>
      </w:pPr>
      <w:r/>
      <w:fldSimple w:instr="TOC \h \z \c &quot;Рис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52"/>
      </w:pPr>
      <w:r>
        <w:br w:type="page" w:clear="all"/>
      </w:r>
      <w:r>
        <w:t xml:space="preserve">Перечень сокращений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1002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</w:tbl>
    <w:p>
      <w:pPr>
        <w:pStyle w:val="952"/>
      </w:pPr>
      <w:r>
        <w:t xml:space="preserve">Перечень терминов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К</w:t>
            </w:r>
            <w:r>
              <w:t xml:space="preserve">оммерческое или бесплатное программное обеспечение, необходимое для функционирования системы, используемое в составе систем ФК без изменения кода поставщика</w:t>
            </w:r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</w:t>
            </w:r>
            <w:r>
              <w:t xml:space="preserve">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925"/>
        <w:numPr>
          <w:ilvl w:val="0"/>
          <w:numId w:val="0"/>
        </w:numPr>
        <w:ind w:left="709"/>
        <w:tabs>
          <w:tab w:val="left" w:pos="708" w:leader="none"/>
        </w:tabs>
      </w:pPr>
      <w:r>
        <w:t xml:space="preserve">Перечень ссылочных документов</w:t>
      </w:r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024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024"/>
            </w:pPr>
            <w:r/>
            <w:r/>
          </w:p>
        </w:tc>
      </w:tr>
    </w:tbl>
    <w:p>
      <w:r/>
      <w:r/>
    </w:p>
    <w:p>
      <w:pPr>
        <w:pStyle w:val="925"/>
      </w:pPr>
      <w:r>
        <w:br w:type="page" w:clear="all"/>
      </w:r>
      <w:bookmarkStart w:id="4" w:name="_Toc443040125"/>
      <w:r/>
      <w:bookmarkStart w:id="5" w:name="_Toc448743097"/>
      <w:r>
        <w:t xml:space="preserve">Общие положения</w:t>
      </w:r>
      <w:bookmarkEnd w:id="4"/>
      <w:r/>
      <w:bookmarkEnd w:id="5"/>
      <w:r/>
      <w:r/>
    </w:p>
    <w:p>
      <w:pPr>
        <w:pStyle w:val="944"/>
      </w:pPr>
      <w:r>
        <w:t xml:space="preserve">В разделе приводятся:</w:t>
      </w:r>
      <w:r/>
    </w:p>
    <w:p>
      <w:pPr>
        <w:pStyle w:val="963"/>
      </w:pPr>
      <w:r>
        <w:t xml:space="preserve">общие сведения о назначении ИС</w:t>
      </w:r>
      <w:r>
        <w:t xml:space="preserve">;</w:t>
      </w:r>
      <w:r/>
    </w:p>
    <w:p>
      <w:pPr>
        <w:pStyle w:val="963"/>
      </w:pPr>
      <w:r>
        <w:t xml:space="preserve">перечень технических площадок, на которых должны быть проведены пуско-наладочные работы (согласно требованиям ТЗ);</w:t>
      </w:r>
      <w:r/>
    </w:p>
    <w:p>
      <w:pPr>
        <w:pStyle w:val="963"/>
      </w:pPr>
      <w:r>
        <w:t xml:space="preserve">сведения о последовательных стадиях пуско-наладочных работ;</w:t>
      </w:r>
      <w:r/>
    </w:p>
    <w:p>
      <w:pPr>
        <w:pStyle w:val="963"/>
      </w:pPr>
      <w:r>
        <w:t xml:space="preserve">перечень </w:t>
      </w:r>
      <w:r>
        <w:t xml:space="preserve">технорабочей</w:t>
      </w:r>
      <w:r>
        <w:t xml:space="preserve"> </w:t>
      </w:r>
      <w:r>
        <w:t xml:space="preserve">и нормативной документации, с которой необходимо ознакомиться перед </w:t>
      </w:r>
      <w:r>
        <w:t xml:space="preserve">началом пуско-наладочных работ;</w:t>
      </w:r>
      <w:r/>
    </w:p>
    <w:p>
      <w:pPr>
        <w:pStyle w:val="963"/>
      </w:pPr>
      <w:r>
        <w:t xml:space="preserve">сведения об </w:t>
      </w:r>
      <w:r>
        <w:t xml:space="preserve">аппаратн</w:t>
      </w:r>
      <w:r>
        <w:t xml:space="preserve">ом обеспечении ИС, на котором планируется пуско-наладка </w:t>
      </w:r>
      <w:r>
        <w:t xml:space="preserve">(или ссылка на документ</w:t>
      </w:r>
      <w:r>
        <w:t xml:space="preserve"> "Описание комплекса технических средств"</w:t>
      </w:r>
      <w:r>
        <w:t xml:space="preserve">, в котором </w:t>
      </w:r>
      <w:r>
        <w:t xml:space="preserve">дано подробное описание КТС ИС);</w:t>
      </w:r>
      <w:r/>
    </w:p>
    <w:p>
      <w:pPr>
        <w:pStyle w:val="963"/>
      </w:pPr>
      <w:r>
        <w:t xml:space="preserve">сведения о программном обеспечении ИС, которое будет устанавливаться в процессе пуско-наладки</w:t>
      </w:r>
      <w:r>
        <w:t xml:space="preserve"> (или ссылка на документ</w:t>
      </w:r>
      <w:r>
        <w:t xml:space="preserve"> "Описание программного обеспечения"</w:t>
      </w:r>
      <w:r>
        <w:t xml:space="preserve">, в котором </w:t>
      </w:r>
      <w:r>
        <w:t xml:space="preserve">дано подробное описание ПО ИС);</w:t>
      </w:r>
      <w:r/>
    </w:p>
    <w:p>
      <w:pPr>
        <w:pStyle w:val="963"/>
      </w:pPr>
      <w:r>
        <w:t xml:space="preserve">подробная спецификация оборудования и программного обеспечения, задействованного в процессе пуско-наладки ИС (или ссылка на проектный документ, содержащий такую спецификацию);</w:t>
      </w:r>
      <w:r/>
    </w:p>
    <w:p>
      <w:pPr>
        <w:pStyle w:val="963"/>
      </w:pPr>
      <w:r>
        <w:t xml:space="preserve">полный с</w:t>
      </w:r>
      <w:r>
        <w:t xml:space="preserve">остав</w:t>
      </w:r>
      <w:r>
        <w:t xml:space="preserve"> комплекта дистрибутивов ПО ИС, включая дистрибутивы СПО, БПО, ППО и ПО СУБД, а также прочего ПО, необходимого и достаточного для проведения пуско-наладочных работ;</w:t>
      </w:r>
      <w:r/>
    </w:p>
    <w:p>
      <w:pPr>
        <w:pStyle w:val="963"/>
      </w:pPr>
      <w:r>
        <w:t xml:space="preserve">перечень необходимых лицензий на ПО и оборудование, задействованное в процессе пуско-наладки ИС, с указанием процедуры их получения;</w:t>
      </w:r>
      <w:r/>
    </w:p>
    <w:p>
      <w:pPr>
        <w:pStyle w:val="963"/>
      </w:pPr>
      <w:r>
        <w:t xml:space="preserve">необходимые сведения по работе с ИТ-инфраструктурой, обеспечивающей функционирование ПАК и его сетевое взаимодействие со смежными системами и пользователями (в объёме, необходимом для пуско-наладочных работ);</w:t>
      </w:r>
      <w:r/>
    </w:p>
    <w:p>
      <w:pPr>
        <w:pStyle w:val="963"/>
      </w:pPr>
      <w:r>
        <w:t xml:space="preserve">требования к необходимому уровню квалификации персонала, проводящего пуско-наладочные работы</w:t>
      </w:r>
      <w:r>
        <w:t xml:space="preserve">;</w:t>
      </w:r>
      <w:r/>
    </w:p>
    <w:p>
      <w:pPr>
        <w:pStyle w:val="963"/>
      </w:pPr>
      <w:r>
        <w:t xml:space="preserve">требования к соблюдению условий безопасности по работе с оборудованием, использующимся в процессе пуско-наладочных работ;</w:t>
      </w:r>
      <w:r/>
    </w:p>
    <w:p>
      <w:pPr>
        <w:pStyle w:val="963"/>
      </w:pPr>
      <w:r>
        <w:t xml:space="preserve">требования к соблюдению информационной безопасности при осуществлении пуско-наладочных работ</w:t>
      </w:r>
      <w:r>
        <w:t xml:space="preserve">.</w:t>
      </w:r>
      <w:r>
        <w:t xml:space="preserve"> </w:t>
      </w:r>
      <w:r/>
    </w:p>
    <w:p>
      <w:pPr>
        <w:pStyle w:val="925"/>
      </w:pPr>
      <w:r/>
      <w:bookmarkStart w:id="6" w:name="_Toc443040126"/>
      <w:r/>
      <w:bookmarkStart w:id="7" w:name="_Toc448743098"/>
      <w:r>
        <w:t xml:space="preserve">Подготовка</w:t>
      </w:r>
      <w:r>
        <w:t xml:space="preserve"> к началу работ</w:t>
      </w:r>
      <w:bookmarkEnd w:id="6"/>
      <w:r/>
      <w:bookmarkEnd w:id="7"/>
      <w:r/>
      <w:r/>
    </w:p>
    <w:p>
      <w:pPr>
        <w:pStyle w:val="944"/>
      </w:pPr>
      <w:r>
        <w:t xml:space="preserve">В разделе указывают</w:t>
      </w:r>
      <w:r>
        <w:t xml:space="preserve"> требования, которые должны быть выполнены перед началом пуско-наладочных работ, в частности</w:t>
      </w:r>
      <w:r>
        <w:t xml:space="preserve">:</w:t>
      </w:r>
      <w:r/>
    </w:p>
    <w:p>
      <w:pPr>
        <w:pStyle w:val="963"/>
      </w:pPr>
      <w:r>
        <w:t xml:space="preserve">порядок подготовки технической площадки центра обработки данных (ЦОД) к размещению на ней КТС ИС, включая:</w:t>
      </w:r>
      <w:r/>
    </w:p>
    <w:p>
      <w:pPr>
        <w:pStyle w:val="964"/>
      </w:pPr>
      <w:r>
        <w:t xml:space="preserve">требования к физическому размещению КТС;</w:t>
      </w:r>
      <w:r/>
    </w:p>
    <w:p>
      <w:pPr>
        <w:pStyle w:val="964"/>
      </w:pPr>
      <w:r>
        <w:t xml:space="preserve">требования КТС к системам и</w:t>
      </w:r>
      <w:r>
        <w:t xml:space="preserve">нженерного обеспечения (СИО), включая требования к структурированной кабельной системе (СКС), к электропитанию, к климатическим режимам, к мерам по контролю доступа в помещения размещения КТС и прочие необходимые требования к сервисам, предоставляемым СИО;</w:t>
      </w:r>
      <w:r/>
    </w:p>
    <w:p>
      <w:pPr>
        <w:pStyle w:val="964"/>
      </w:pPr>
      <w:r>
        <w:t xml:space="preserve">требования по настройке оборудования ЛВС и сетей передачи данных, относящихся к внешней по отношению ИС ИТ-инфраструктуре;</w:t>
      </w:r>
      <w:r/>
    </w:p>
    <w:p>
      <w:pPr>
        <w:pStyle w:val="964"/>
      </w:pPr>
      <w:r>
        <w:t xml:space="preserve">прочие требования к подготовке технической площадки ЦОД под размещение ИС;</w:t>
      </w:r>
      <w:r/>
    </w:p>
    <w:p>
      <w:pPr>
        <w:pStyle w:val="963"/>
      </w:pPr>
      <w:r>
        <w:t xml:space="preserve">условия, при соблюдении которых возможно (или невозможно) выполнение </w:t>
      </w:r>
      <w:r>
        <w:t xml:space="preserve">пуско-наладочных </w:t>
      </w:r>
      <w:r>
        <w:t xml:space="preserve">работ</w:t>
      </w:r>
      <w:r>
        <w:t xml:space="preserve"> на технической площадке ЦОД</w:t>
      </w:r>
      <w:r>
        <w:t xml:space="preserve">;</w:t>
      </w:r>
      <w:r/>
    </w:p>
    <w:p>
      <w:pPr>
        <w:pStyle w:val="963"/>
      </w:pPr>
      <w:r>
        <w:t xml:space="preserve">прочие требования, необходимые для проведения пуско-наладочных работ.</w:t>
      </w:r>
      <w:r/>
    </w:p>
    <w:p>
      <w:pPr>
        <w:pStyle w:val="925"/>
      </w:pPr>
      <w:r/>
      <w:bookmarkStart w:id="8" w:name="_Toc443040127"/>
      <w:r/>
      <w:bookmarkStart w:id="9" w:name="_Toc448743099"/>
      <w:r>
        <w:t xml:space="preserve">Указания по автономной наладке ИС</w:t>
      </w:r>
      <w:bookmarkEnd w:id="8"/>
      <w:r/>
      <w:bookmarkEnd w:id="9"/>
      <w:r/>
      <w:r/>
    </w:p>
    <w:p>
      <w:pPr>
        <w:pStyle w:val="944"/>
      </w:pPr>
      <w:r>
        <w:t xml:space="preserve">В разделе </w:t>
      </w:r>
      <w:r>
        <w:t xml:space="preserve">описывают перечень работ и инструкции, которые должны быть выполнены перед началом комплексной наладки ИС, в частности:</w:t>
      </w:r>
      <w:r/>
    </w:p>
    <w:p>
      <w:pPr>
        <w:pStyle w:val="963"/>
      </w:pPr>
      <w:r>
        <w:t xml:space="preserve">перечень ресурсов, необходимых для проведения </w:t>
      </w:r>
      <w:r>
        <w:t xml:space="preserve">автономной наладки ИС</w:t>
      </w:r>
      <w:r>
        <w:t xml:space="preserve">;</w:t>
      </w:r>
      <w:r/>
    </w:p>
    <w:p>
      <w:pPr>
        <w:pStyle w:val="963"/>
      </w:pPr>
      <w:r>
        <w:t xml:space="preserve">условия, при соблюдении которых возможно </w:t>
      </w:r>
      <w:r>
        <w:t xml:space="preserve">(или невозможно) выполнение автономной наладки ИС</w:t>
      </w:r>
      <w:r>
        <w:t xml:space="preserve">;</w:t>
      </w:r>
      <w:r/>
    </w:p>
    <w:p>
      <w:pPr>
        <w:pStyle w:val="963"/>
      </w:pPr>
      <w:r>
        <w:t xml:space="preserve">перечень и последовательность работ по автономной наладке ИС, включая:</w:t>
      </w:r>
      <w:r/>
    </w:p>
    <w:p>
      <w:pPr>
        <w:pStyle w:val="964"/>
      </w:pPr>
      <w:r>
        <w:t xml:space="preserve">указания по монтажу КТС на технической площадке ЦОД;</w:t>
      </w:r>
      <w:r/>
    </w:p>
    <w:p>
      <w:pPr>
        <w:pStyle w:val="964"/>
      </w:pPr>
      <w:r>
        <w:t xml:space="preserve">указания по выполнению кабельных соединений КТС с ИТ-инфраструктурой ЦОД;</w:t>
      </w:r>
      <w:r/>
    </w:p>
    <w:p>
      <w:pPr>
        <w:pStyle w:val="964"/>
      </w:pPr>
      <w:r>
        <w:t xml:space="preserve">порядок включения и выключения оборудования КТС;</w:t>
      </w:r>
      <w:r/>
    </w:p>
    <w:p>
      <w:pPr>
        <w:pStyle w:val="964"/>
      </w:pPr>
      <w:r>
        <w:t xml:space="preserve">последовательность и инструкции по установке ПО ИС (СПО, БПО, ППО, ПО СУБД, прочего ПО) на серверы КТС </w:t>
      </w:r>
      <w:r>
        <w:t xml:space="preserve">с дистрибутивн</w:t>
      </w:r>
      <w:r>
        <w:t xml:space="preserve">ых</w:t>
      </w:r>
      <w:r>
        <w:t xml:space="preserve"> </w:t>
      </w:r>
      <w:r>
        <w:t xml:space="preserve">носителей</w:t>
      </w:r>
      <w:r>
        <w:t xml:space="preserve"> данных</w:t>
      </w:r>
      <w:r>
        <w:t xml:space="preserve">;</w:t>
      </w:r>
      <w:r/>
    </w:p>
    <w:p>
      <w:pPr>
        <w:pStyle w:val="964"/>
      </w:pPr>
      <w:r>
        <w:t xml:space="preserve">последовательность </w:t>
      </w:r>
      <w:r>
        <w:t xml:space="preserve">запуск</w:t>
      </w:r>
      <w:r>
        <w:t xml:space="preserve">а</w:t>
      </w:r>
      <w:r>
        <w:t xml:space="preserve"> </w:t>
      </w:r>
      <w:r>
        <w:t xml:space="preserve">ИС</w:t>
      </w:r>
      <w:r>
        <w:t xml:space="preserve"> </w:t>
      </w:r>
      <w:r>
        <w:t xml:space="preserve">и настройк</w:t>
      </w:r>
      <w:r>
        <w:t xml:space="preserve">а</w:t>
      </w:r>
      <w:r>
        <w:t xml:space="preserve"> параметров запуска;</w:t>
      </w:r>
      <w:r/>
    </w:p>
    <w:p>
      <w:pPr>
        <w:pStyle w:val="964"/>
      </w:pPr>
      <w:r>
        <w:t xml:space="preserve">особенности конфигурации и указания по </w:t>
      </w:r>
      <w:r>
        <w:t xml:space="preserve">настройк</w:t>
      </w:r>
      <w:r>
        <w:t xml:space="preserve">е</w:t>
      </w:r>
      <w:r>
        <w:t xml:space="preserve"> рабоч</w:t>
      </w:r>
      <w:r>
        <w:t xml:space="preserve">их станций, с которых должна выполняться автономная и комплексная настройка ИС</w:t>
      </w:r>
      <w:r>
        <w:t xml:space="preserve">;</w:t>
      </w:r>
      <w:r/>
    </w:p>
    <w:p>
      <w:pPr>
        <w:pStyle w:val="964"/>
      </w:pPr>
      <w:r>
        <w:t xml:space="preserve">описание действий по </w:t>
      </w:r>
      <w:r>
        <w:t xml:space="preserve">первичной автономной </w:t>
      </w:r>
      <w:r>
        <w:t xml:space="preserve">настройке ПО ИС на условия конкретного применения (настройка на состав технических средств, выбор функций и др.)</w:t>
      </w:r>
      <w:r>
        <w:t xml:space="preserve"> в рамках технической площадки ЦОД</w:t>
      </w:r>
      <w:r>
        <w:t xml:space="preserve">;</w:t>
      </w:r>
      <w:r/>
    </w:p>
    <w:p>
      <w:pPr>
        <w:pStyle w:val="964"/>
      </w:pPr>
      <w:r>
        <w:t xml:space="preserve">порядок загрузки первичной </w:t>
      </w:r>
      <w:r>
        <w:t xml:space="preserve">информации в баз</w:t>
      </w:r>
      <w:r>
        <w:t xml:space="preserve">ы</w:t>
      </w:r>
      <w:r>
        <w:t xml:space="preserve"> данных</w:t>
      </w:r>
      <w:r>
        <w:t xml:space="preserve"> СУБД ИС, порядок миграции данных из других ИС;</w:t>
      </w:r>
      <w:r/>
    </w:p>
    <w:p>
      <w:pPr>
        <w:pStyle w:val="963"/>
      </w:pPr>
      <w:r>
        <w:t xml:space="preserve">прочая информация, необходимая для успешной автономной наладки ИС.</w:t>
      </w:r>
      <w:r/>
    </w:p>
    <w:p>
      <w:pPr>
        <w:pStyle w:val="925"/>
      </w:pPr>
      <w:r/>
      <w:bookmarkStart w:id="10" w:name="_Toc443040128"/>
      <w:r/>
      <w:bookmarkStart w:id="11" w:name="_Toc448743100"/>
      <w:r>
        <w:t xml:space="preserve">Указания по комплексной наладке ИС</w:t>
      </w:r>
      <w:bookmarkEnd w:id="10"/>
      <w:r/>
      <w:bookmarkEnd w:id="11"/>
      <w:r/>
      <w:r/>
    </w:p>
    <w:p>
      <w:pPr>
        <w:pStyle w:val="944"/>
      </w:pPr>
      <w:r>
        <w:t xml:space="preserve">В разделе описывают перечень работ и инструкции, которые должны быть выполнены</w:t>
      </w:r>
      <w:r>
        <w:t xml:space="preserve"> в процессе комплексной наладки перед проведением предварительных испытаний </w:t>
      </w:r>
      <w:r>
        <w:t xml:space="preserve">ИС</w:t>
      </w:r>
      <w:r>
        <w:t xml:space="preserve">, в частности</w:t>
      </w:r>
      <w:r>
        <w:t xml:space="preserve">:</w:t>
      </w:r>
      <w:r/>
    </w:p>
    <w:p>
      <w:pPr>
        <w:pStyle w:val="963"/>
      </w:pPr>
      <w:r>
        <w:t xml:space="preserve">перечень ресурсов, необходимых для проведения </w:t>
      </w:r>
      <w:r>
        <w:t xml:space="preserve">комплексной наладки ИС</w:t>
      </w:r>
      <w:r>
        <w:t xml:space="preserve">;</w:t>
      </w:r>
      <w:r/>
    </w:p>
    <w:p>
      <w:pPr>
        <w:pStyle w:val="963"/>
      </w:pPr>
      <w:r>
        <w:t xml:space="preserve">условия, при соблюдении которых возможно (или невозможно) выполнение </w:t>
      </w:r>
      <w:r>
        <w:t xml:space="preserve">комплексной наладки ИС</w:t>
      </w:r>
      <w:r>
        <w:t xml:space="preserve">;</w:t>
      </w:r>
      <w:r/>
    </w:p>
    <w:p>
      <w:pPr>
        <w:pStyle w:val="963"/>
      </w:pPr>
      <w:r>
        <w:t xml:space="preserve">описание тестового примера, на основании которого может быть сделано заключение о выполнении всей полноты пуско-наладочных работ и о готовности ИС к проведению предварительных испытаний (или ссылка на описание тестового примера в рабочей документации);</w:t>
      </w:r>
      <w:r/>
    </w:p>
    <w:p>
      <w:pPr>
        <w:pStyle w:val="963"/>
      </w:pPr>
      <w:r>
        <w:t xml:space="preserve">перечень и последовательность работ по </w:t>
      </w:r>
      <w:r>
        <w:t xml:space="preserve">комплексной </w:t>
      </w:r>
      <w:r>
        <w:t xml:space="preserve">наладке ИС, включая:</w:t>
      </w:r>
      <w:r/>
    </w:p>
    <w:p>
      <w:pPr>
        <w:pStyle w:val="964"/>
      </w:pPr>
      <w:r>
        <w:t xml:space="preserve">указания по настройке ИС на работу с общесистемными сервисами ЦОД и ФК; </w:t>
      </w:r>
      <w:r/>
    </w:p>
    <w:p>
      <w:pPr>
        <w:pStyle w:val="964"/>
      </w:pPr>
      <w:r>
        <w:t xml:space="preserve">указания по настройке взаимодействия ИС с внешними системами и сервисами, включая интеграцию с системой ре</w:t>
      </w:r>
      <w:r>
        <w:t xml:space="preserve">зервного копирования и восстановления</w:t>
      </w:r>
      <w:r>
        <w:t xml:space="preserve"> данных</w:t>
      </w:r>
      <w:r>
        <w:t xml:space="preserve">,</w:t>
      </w:r>
      <w:r>
        <w:t xml:space="preserve"> системой управления эксплуатацией и прочими системами, которые должны быть задействованы в работе ИС;</w:t>
      </w:r>
      <w:r/>
    </w:p>
    <w:p>
      <w:pPr>
        <w:pStyle w:val="964"/>
      </w:pPr>
      <w:r>
        <w:t xml:space="preserve">порядок тестового запуска системы в штатном режиме работы;</w:t>
      </w:r>
      <w:r/>
    </w:p>
    <w:p>
      <w:pPr>
        <w:pStyle w:val="964"/>
      </w:pPr>
      <w:r>
        <w:t xml:space="preserve">подготовка ИС к выполнению тестового примера, включая загрузку тестовых данных;</w:t>
      </w:r>
      <w:r/>
    </w:p>
    <w:p>
      <w:pPr>
        <w:pStyle w:val="964"/>
      </w:pPr>
      <w:r>
        <w:t xml:space="preserve">выполнение тестового примера в штатном режиме работы;</w:t>
      </w:r>
      <w:r/>
    </w:p>
    <w:p>
      <w:pPr>
        <w:pStyle w:val="963"/>
      </w:pPr>
      <w:r>
        <w:t xml:space="preserve">прочая информация, необходимая для успешной </w:t>
      </w:r>
      <w:r>
        <w:t xml:space="preserve">комплексной </w:t>
      </w:r>
      <w:r>
        <w:t xml:space="preserve">наладки ИС.</w:t>
      </w:r>
      <w:r/>
    </w:p>
    <w:p>
      <w:pPr>
        <w:pStyle w:val="925"/>
      </w:pPr>
      <w:r/>
      <w:bookmarkStart w:id="12" w:name="_Toc443040129"/>
      <w:r/>
      <w:bookmarkStart w:id="13" w:name="_Toc448743101"/>
      <w:r>
        <w:t xml:space="preserve">Окончание работ</w:t>
      </w:r>
      <w:bookmarkEnd w:id="12"/>
      <w:r/>
      <w:bookmarkEnd w:id="13"/>
      <w:r/>
      <w:r/>
    </w:p>
    <w:p>
      <w:pPr>
        <w:pStyle w:val="944"/>
      </w:pPr>
      <w:r>
        <w:t xml:space="preserve">В разделе указывают</w:t>
      </w:r>
      <w:r>
        <w:t xml:space="preserve">:</w:t>
      </w:r>
      <w:r/>
    </w:p>
    <w:p>
      <w:pPr>
        <w:pStyle w:val="963"/>
      </w:pPr>
      <w:r>
        <w:t xml:space="preserve">критерии оценки успешности выполнения тестового примера, в </w:t>
      </w:r>
      <w:r>
        <w:t xml:space="preserve">т.ч</w:t>
      </w:r>
      <w:r>
        <w:t xml:space="preserve">. на основании анализа лог-файлов и электронных </w:t>
      </w:r>
      <w:r>
        <w:t xml:space="preserve">журнал</w:t>
      </w:r>
      <w:r>
        <w:t xml:space="preserve">ов</w:t>
      </w:r>
      <w:r>
        <w:t xml:space="preserve"> событий</w:t>
      </w:r>
      <w:r>
        <w:t xml:space="preserve"> с указанием наличия/отсутствия сообщений об ошибках;</w:t>
      </w:r>
      <w:r/>
    </w:p>
    <w:p>
      <w:pPr>
        <w:pStyle w:val="963"/>
      </w:pPr>
      <w:r>
        <w:t xml:space="preserve">критерии оценки успешности выполнения тестового </w:t>
      </w:r>
      <w:r>
        <w:t xml:space="preserve">примера</w:t>
      </w:r>
      <w:r>
        <w:t xml:space="preserve">;</w:t>
      </w:r>
      <w:r/>
    </w:p>
    <w:p>
      <w:pPr>
        <w:pStyle w:val="963"/>
      </w:pPr>
      <w:r>
        <w:t xml:space="preserve">общие критерии успешности выполнения пуско-наладочных работ и готовности ИС к проведению предварительных испытаний;</w:t>
      </w:r>
      <w:r/>
    </w:p>
    <w:p>
      <w:pPr>
        <w:pStyle w:val="963"/>
      </w:pPr>
      <w:r>
        <w:t xml:space="preserve">прочая информация, необходимая для принятия решения о готовности ИС к проведению предварительных испытаний.</w:t>
      </w:r>
      <w:r/>
    </w:p>
    <w:p>
      <w:pPr>
        <w:pStyle w:val="944"/>
      </w:pPr>
      <w:r>
        <w:t xml:space="preserve">По завершении пуско-наладочных работ оформляется акт о завершении пуско-наладочных работ, в котором приводится заключение о результатах пуско-наладочных работ и заключение о готовности ИС к проведению предварительных испытаний.</w:t>
      </w:r>
      <w:r/>
    </w:p>
    <w:p>
      <w:pPr>
        <w:pStyle w:val="971"/>
      </w:pPr>
      <w:r>
        <w:br w:type="page" w:clear="all"/>
      </w:r>
      <w:bookmarkStart w:id="14" w:name="_Toc448743102"/>
      <w:r>
        <w:t xml:space="preserve">Приложение 1. </w:t>
      </w:r>
      <w:r>
        <w:br/>
      </w:r>
      <w:r>
        <w:t xml:space="preserve">Таблица соединений и подключений</w:t>
      </w:r>
      <w:bookmarkEnd w:id="14"/>
      <w:r/>
      <w:r/>
    </w:p>
    <w:p>
      <w:pPr>
        <w:pStyle w:val="982"/>
      </w:pPr>
      <w:r>
        <w:t xml:space="preserve">П</w:t>
      </w:r>
      <w:r>
        <w:t xml:space="preserve">риводят </w:t>
      </w:r>
      <w:r>
        <w:t xml:space="preserve">в табличном виде </w:t>
      </w:r>
      <w:r>
        <w:t xml:space="preserve">перечень</w:t>
      </w:r>
      <w:r>
        <w:t xml:space="preserve"> </w:t>
      </w:r>
      <w:r>
        <w:t xml:space="preserve">электрически</w:t>
      </w:r>
      <w:r>
        <w:t xml:space="preserve">х</w:t>
      </w:r>
      <w:r>
        <w:t xml:space="preserve"> и </w:t>
      </w:r>
      <w:r>
        <w:t xml:space="preserve">кабельных</w:t>
      </w:r>
      <w:r>
        <w:t xml:space="preserve"> соединени</w:t>
      </w:r>
      <w:r>
        <w:t xml:space="preserve">й</w:t>
      </w:r>
      <w:r>
        <w:t xml:space="preserve"> между </w:t>
      </w:r>
      <w:r>
        <w:t xml:space="preserve">компонент</w:t>
      </w:r>
      <w:r>
        <w:t xml:space="preserve">ами</w:t>
      </w:r>
      <w:r>
        <w:t xml:space="preserve"> комплекса технических средств</w:t>
      </w:r>
      <w:r>
        <w:t xml:space="preserve"> ИС</w:t>
      </w:r>
      <w:r>
        <w:t xml:space="preserve">, а также между </w:t>
      </w:r>
      <w:r>
        <w:t xml:space="preserve">техническими </w:t>
      </w:r>
      <w:r>
        <w:t xml:space="preserve">компонентами ИС и внешними устройствами </w:t>
      </w:r>
      <w:r>
        <w:t xml:space="preserve">с указанием типа используемого соединения.</w:t>
      </w:r>
      <w:r/>
    </w:p>
    <w:p>
      <w:pPr>
        <w:pStyle w:val="971"/>
      </w:pPr>
      <w:r/>
      <w:bookmarkStart w:id="15" w:name="_Toc448743103"/>
      <w:r>
        <w:t xml:space="preserve">Приложение 2. </w:t>
      </w:r>
      <w:r>
        <w:br/>
      </w:r>
      <w:r>
        <w:t xml:space="preserve">План расположения оборудования и проводок</w:t>
      </w:r>
      <w:bookmarkEnd w:id="15"/>
      <w:r/>
      <w:r/>
    </w:p>
    <w:p>
      <w:pPr>
        <w:pStyle w:val="982"/>
      </w:pPr>
      <w:r>
        <w:t xml:space="preserve">План расположения оборудования и проводок должен показывать планы и ра</w:t>
      </w:r>
      <w:r>
        <w:t xml:space="preserve">сположение</w:t>
      </w:r>
      <w:r>
        <w:t xml:space="preserve"> помещений, на которых должно быть указано размещение </w:t>
      </w:r>
      <w:r>
        <w:t xml:space="preserve">компонентов комплекса </w:t>
      </w:r>
      <w:r>
        <w:t xml:space="preserve">техническ</w:t>
      </w:r>
      <w:r>
        <w:t xml:space="preserve">их средств </w:t>
      </w:r>
      <w:r>
        <w:t xml:space="preserve">ИС </w:t>
      </w:r>
      <w:r>
        <w:t xml:space="preserve">и</w:t>
      </w:r>
      <w:r>
        <w:t xml:space="preserve"> кабельных проводок </w:t>
      </w:r>
      <w:r>
        <w:t xml:space="preserve">между ним. В случае необходимости н</w:t>
      </w:r>
      <w:r>
        <w:t xml:space="preserve">а плане указывают установочные размеры, необходимые для монтажа</w:t>
      </w:r>
      <w:r>
        <w:t xml:space="preserve"> </w:t>
      </w:r>
      <w:r>
        <w:t xml:space="preserve">технических средств.</w:t>
      </w:r>
      <w:r/>
    </w:p>
    <w:p>
      <w:r/>
      <w:r/>
    </w:p>
    <w:p>
      <w:pPr>
        <w:pStyle w:val="982"/>
      </w:pPr>
      <w:r/>
      <w:r/>
    </w:p>
    <w:p>
      <w:pPr>
        <w:pStyle w:val="952"/>
      </w:pPr>
      <w:r>
        <w:br w:type="page" w:clear="all"/>
      </w:r>
      <w:r>
        <w:t xml:space="preserve"> </w:t>
      </w:r>
      <w:r>
        <w:t xml:space="preserve">Согласовано</w:t>
      </w:r>
      <w:r/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52"/>
      </w:pPr>
      <w:r/>
      <w:bookmarkStart w:id="16" w:name="_Toc358118979"/>
      <w:r/>
      <w:bookmarkStart w:id="17" w:name="_Toc403720970"/>
      <w:r>
        <w:br w:type="page" w:clear="all"/>
      </w:r>
      <w:r>
        <w:t xml:space="preserve">Л</w:t>
      </w:r>
      <w:r>
        <w:t xml:space="preserve">ист регистрации изменений</w:t>
      </w:r>
      <w:bookmarkEnd w:id="16"/>
      <w:r/>
      <w:bookmarkEnd w:id="17"/>
      <w:r/>
      <w:r/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bookmarkStart w:id="18" w:name="_GoBack"/>
      <w:r/>
      <w:bookmarkEnd w:id="18"/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 Light">
    <w:panose1 w:val="020F030202020403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rPr>
        <w:rStyle w:val="1009"/>
        <w:lang w:val="en-US"/>
      </w:rPr>
    </w:pPr>
    <w:r>
      <w:t xml:space="preserve">20</w:t>
    </w:r>
    <w:r>
      <w:rPr>
        <w:rStyle w:val="1009"/>
      </w:rPr>
      <w:t xml:space="preserve"> </w:t>
    </w:r>
    <w:r>
      <w:rPr>
        <w:rStyle w:val="1009"/>
      </w:rPr>
      <w:t xml:space="preserve"> </w:t>
    </w:r>
    <w:r>
      <w:rPr>
        <w:rStyle w:val="1009"/>
        <w:lang w:val="en-US"/>
      </w:rPr>
      <w:t xml:space="preserve"> </w:t>
    </w:r>
    <w:r>
      <w:t xml:space="preserve">г.</w:t>
    </w:r>
    <w:r>
      <w:rPr>
        <w:rStyle w:val="1009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Руководство по </w:t>
          </w:r>
          <w:r>
            <w:t xml:space="preserve">пуско-наладке системы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02"/>
          </w:pPr>
          <w:r>
            <w:t xml:space="preserve">XXXXXXXX.AA.BB,BB.</w:t>
          </w:r>
          <w:r>
            <w:rPr>
              <w:rStyle w:val="1007"/>
            </w:rPr>
            <w:t xml:space="preserve">ИМ</w:t>
          </w:r>
          <w:r>
            <w:t xml:space="preserve">.DDD</w:t>
          </w:r>
          <w:r>
            <w:t xml:space="preserve">-</w:t>
          </w:r>
          <w:r>
            <w:t xml:space="preserve">Е</w:t>
          </w:r>
          <w:r>
            <w:t xml:space="preserve">E.E</w:t>
          </w:r>
          <w:r>
            <w:t xml:space="preserve">Е</w:t>
          </w:r>
          <w:r>
            <w:t xml:space="preserve">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002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13</w:t>
          </w:r>
          <w:r>
            <w:fldChar w:fldCharType="end"/>
          </w:r>
          <w:r/>
        </w:p>
      </w:tc>
    </w:tr>
  </w:tbl>
  <w:p>
    <w:pPr>
      <w:pStyle w:val="95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90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63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925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926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27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928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80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64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70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bullet"/>
      <w:pStyle w:val="967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pStyle w:val="966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pStyle w:val="957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6"/>
  </w:num>
  <w:num w:numId="3">
    <w:abstractNumId w:val="24"/>
  </w:num>
  <w:num w:numId="4">
    <w:abstractNumId w:val="57"/>
  </w:num>
  <w:num w:numId="5">
    <w:abstractNumId w:val="55"/>
  </w:num>
  <w:num w:numId="6">
    <w:abstractNumId w:val="30"/>
  </w:num>
  <w:num w:numId="7">
    <w:abstractNumId w:val="8"/>
  </w:num>
  <w:num w:numId="8">
    <w:abstractNumId w:val="11"/>
  </w:num>
  <w:num w:numId="9">
    <w:abstractNumId w:val="48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6"/>
  </w:num>
  <w:num w:numId="21">
    <w:abstractNumId w:val="18"/>
  </w:num>
  <w:num w:numId="22">
    <w:abstractNumId w:val="47"/>
  </w:num>
  <w:num w:numId="23">
    <w:abstractNumId w:val="39"/>
  </w:num>
  <w:num w:numId="24">
    <w:abstractNumId w:val="41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1"/>
  </w:num>
  <w:num w:numId="30">
    <w:abstractNumId w:val="33"/>
  </w:num>
  <w:num w:numId="31">
    <w:abstractNumId w:val="31"/>
  </w:num>
  <w:num w:numId="32">
    <w:abstractNumId w:val="36"/>
  </w:num>
  <w:num w:numId="33">
    <w:abstractNumId w:val="50"/>
  </w:num>
  <w:num w:numId="34">
    <w:abstractNumId w:val="19"/>
  </w:num>
  <w:num w:numId="35">
    <w:abstractNumId w:val="17"/>
  </w:num>
  <w:num w:numId="36">
    <w:abstractNumId w:val="44"/>
  </w:num>
  <w:num w:numId="37">
    <w:abstractNumId w:val="2"/>
  </w:num>
  <w:num w:numId="38">
    <w:abstractNumId w:val="43"/>
  </w:num>
  <w:num w:numId="39">
    <w:abstractNumId w:val="40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49"/>
  </w:num>
  <w:num w:numId="50">
    <w:abstractNumId w:val="54"/>
  </w:num>
  <w:num w:numId="51">
    <w:abstractNumId w:val="27"/>
  </w:num>
  <w:num w:numId="52">
    <w:abstractNumId w:val="53"/>
  </w:num>
  <w:num w:numId="53">
    <w:abstractNumId w:val="42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0"/>
  </w:num>
  <w:num w:numId="5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34"/>
    <w:link w:val="9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34"/>
    <w:link w:val="92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934"/>
    <w:link w:val="92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934"/>
    <w:link w:val="92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34"/>
    <w:link w:val="92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934"/>
    <w:link w:val="93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934"/>
    <w:link w:val="9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934"/>
    <w:link w:val="93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934"/>
    <w:link w:val="933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24"/>
    <w:next w:val="92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34"/>
    <w:link w:val="34"/>
    <w:uiPriority w:val="10"/>
    <w:rPr>
      <w:sz w:val="48"/>
      <w:szCs w:val="48"/>
    </w:rPr>
  </w:style>
  <w:style w:type="paragraph" w:styleId="36">
    <w:name w:val="Subtitle"/>
    <w:basedOn w:val="924"/>
    <w:next w:val="92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34"/>
    <w:link w:val="36"/>
    <w:uiPriority w:val="11"/>
    <w:rPr>
      <w:sz w:val="24"/>
      <w:szCs w:val="24"/>
    </w:rPr>
  </w:style>
  <w:style w:type="paragraph" w:styleId="38">
    <w:name w:val="Quote"/>
    <w:basedOn w:val="924"/>
    <w:next w:val="92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24"/>
    <w:next w:val="92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34"/>
    <w:link w:val="950"/>
    <w:uiPriority w:val="99"/>
  </w:style>
  <w:style w:type="character" w:styleId="45">
    <w:name w:val="Footer Char"/>
    <w:basedOn w:val="934"/>
    <w:link w:val="953"/>
    <w:uiPriority w:val="99"/>
  </w:style>
  <w:style w:type="character" w:styleId="47">
    <w:name w:val="Caption Char"/>
    <w:basedOn w:val="1012"/>
    <w:link w:val="953"/>
    <w:uiPriority w:val="99"/>
  </w:style>
  <w:style w:type="table" w:styleId="49">
    <w:name w:val="Table Grid Light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9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68"/>
    <w:uiPriority w:val="99"/>
    <w:rPr>
      <w:sz w:val="18"/>
    </w:rPr>
  </w:style>
  <w:style w:type="character" w:styleId="179">
    <w:name w:val="Endnote Text Char"/>
    <w:link w:val="997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924" w:default="1">
    <w:name w:val="Normal"/>
    <w:qFormat/>
    <w:pPr>
      <w:jc w:val="both"/>
    </w:pPr>
    <w:rPr>
      <w:color w:val="000000"/>
      <w:sz w:val="24"/>
    </w:rPr>
  </w:style>
  <w:style w:type="paragraph" w:styleId="925">
    <w:name w:val="Heading 1"/>
    <w:basedOn w:val="924"/>
    <w:next w:val="944"/>
    <w:link w:val="939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926">
    <w:name w:val="Heading 2"/>
    <w:basedOn w:val="924"/>
    <w:next w:val="945"/>
    <w:link w:val="1011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927">
    <w:name w:val="Heading 3"/>
    <w:basedOn w:val="924"/>
    <w:next w:val="947"/>
    <w:link w:val="940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928">
    <w:name w:val="Heading 4"/>
    <w:basedOn w:val="924"/>
    <w:next w:val="982"/>
    <w:link w:val="941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929">
    <w:name w:val="Heading 5"/>
    <w:basedOn w:val="924"/>
    <w:next w:val="924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930">
    <w:name w:val="Heading 6"/>
    <w:basedOn w:val="924"/>
    <w:next w:val="924"/>
    <w:link w:val="942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931">
    <w:name w:val="Heading 7"/>
    <w:basedOn w:val="924"/>
    <w:next w:val="924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932">
    <w:name w:val="Heading 8"/>
    <w:basedOn w:val="924"/>
    <w:next w:val="924"/>
    <w:link w:val="1022"/>
    <w:semiHidden/>
    <w:unhideWhenUsed/>
    <w:qFormat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33">
    <w:name w:val="Heading 9"/>
    <w:basedOn w:val="924"/>
    <w:next w:val="924"/>
    <w:link w:val="1023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styleId="934" w:default="1">
    <w:name w:val="Default Paragraph Font"/>
    <w:uiPriority w:val="1"/>
    <w:semiHidden/>
    <w:unhideWhenUsed/>
  </w:style>
  <w:style w:type="table" w:styleId="9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6" w:default="1">
    <w:name w:val="No List"/>
    <w:uiPriority w:val="99"/>
    <w:semiHidden/>
    <w:unhideWhenUsed/>
  </w:style>
  <w:style w:type="paragraph" w:styleId="937">
    <w:name w:val="Body Text"/>
    <w:basedOn w:val="924"/>
    <w:link w:val="938"/>
    <w:pPr>
      <w:ind w:firstLine="567"/>
    </w:pPr>
    <w:rPr>
      <w:sz w:val="28"/>
    </w:rPr>
  </w:style>
  <w:style w:type="character" w:styleId="938" w:customStyle="1">
    <w:name w:val="Основной текст Знак"/>
    <w:link w:val="937"/>
    <w:rPr>
      <w:color w:val="000000"/>
      <w:sz w:val="28"/>
    </w:rPr>
  </w:style>
  <w:style w:type="character" w:styleId="939" w:customStyle="1">
    <w:name w:val="Заголовок 1 Знак"/>
    <w:link w:val="925"/>
    <w:rPr>
      <w:rFonts w:ascii="Arial" w:hAnsi="Arial"/>
      <w:b/>
      <w:bCs/>
      <w:color w:val="000000"/>
      <w:sz w:val="36"/>
    </w:rPr>
  </w:style>
  <w:style w:type="character" w:styleId="940" w:customStyle="1">
    <w:name w:val="Заголовок 3 Знак"/>
    <w:link w:val="927"/>
    <w:rPr>
      <w:rFonts w:ascii="Arial" w:hAnsi="Arial"/>
      <w:b/>
      <w:bCs/>
      <w:color w:val="000000"/>
      <w:sz w:val="28"/>
    </w:rPr>
  </w:style>
  <w:style w:type="character" w:styleId="941" w:customStyle="1">
    <w:name w:val="Заголовок 4 Знак"/>
    <w:link w:val="928"/>
    <w:rPr>
      <w:rFonts w:ascii="Arial" w:hAnsi="Arial"/>
      <w:color w:val="000000"/>
      <w:sz w:val="28"/>
    </w:rPr>
  </w:style>
  <w:style w:type="character" w:styleId="942" w:customStyle="1">
    <w:name w:val="Заголовок 6 Знак"/>
    <w:link w:val="930"/>
    <w:rPr>
      <w:rFonts w:ascii="Arial" w:hAnsi="Arial"/>
      <w:i/>
      <w:sz w:val="22"/>
      <w:lang w:val="ru-RU" w:eastAsia="en-US" w:bidi="ar-SA"/>
    </w:rPr>
  </w:style>
  <w:style w:type="paragraph" w:styleId="943" w:customStyle="1">
    <w:name w:val="Таблица - наименование"/>
    <w:basedOn w:val="924"/>
    <w:qFormat/>
    <w:pPr>
      <w:jc w:val="left"/>
      <w:keepNext/>
      <w:spacing w:before="120"/>
    </w:pPr>
    <w:rPr>
      <w:color w:val="auto"/>
      <w:sz w:val="28"/>
    </w:rPr>
  </w:style>
  <w:style w:type="paragraph" w:styleId="944" w:customStyle="1">
    <w:name w:val="Пункт 2 уровня"/>
    <w:basedOn w:val="926"/>
    <w:link w:val="1020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45" w:customStyle="1">
    <w:name w:val="Пункт 3 уровня"/>
    <w:basedOn w:val="927"/>
    <w:link w:val="946"/>
    <w:pPr>
      <w:keepNext w:val="0"/>
      <w:spacing w:before="120"/>
    </w:pPr>
    <w:rPr>
      <w:rFonts w:ascii="Times New Roman" w:hAnsi="Times New Roman"/>
      <w:b w:val="0"/>
    </w:rPr>
  </w:style>
  <w:style w:type="character" w:styleId="946" w:customStyle="1">
    <w:name w:val="Пункт 3 уровня Знак"/>
    <w:link w:val="945"/>
    <w:rPr>
      <w:bCs/>
      <w:color w:val="000000"/>
      <w:sz w:val="28"/>
    </w:rPr>
  </w:style>
  <w:style w:type="paragraph" w:styleId="947" w:customStyle="1">
    <w:name w:val="Пункт 4 уровня"/>
    <w:basedOn w:val="928"/>
    <w:link w:val="948"/>
    <w:pPr>
      <w:spacing w:before="120"/>
    </w:pPr>
    <w:rPr>
      <w:rFonts w:ascii="Times New Roman" w:hAnsi="Times New Roman"/>
    </w:rPr>
  </w:style>
  <w:style w:type="character" w:styleId="948" w:customStyle="1">
    <w:name w:val="Пункт 4 уровня Знак"/>
    <w:basedOn w:val="941"/>
    <w:link w:val="947"/>
    <w:rPr>
      <w:rFonts w:ascii="Arial" w:hAnsi="Arial"/>
      <w:color w:val="000000"/>
      <w:sz w:val="28"/>
    </w:rPr>
  </w:style>
  <w:style w:type="character" w:styleId="949">
    <w:name w:val="FollowedHyperlink"/>
    <w:rPr>
      <w:color w:val="800080"/>
      <w:u w:val="single"/>
    </w:rPr>
  </w:style>
  <w:style w:type="paragraph" w:styleId="950">
    <w:name w:val="Header"/>
    <w:basedOn w:val="924"/>
  </w:style>
  <w:style w:type="character" w:styleId="951">
    <w:name w:val="Hyperlink"/>
    <w:uiPriority w:val="99"/>
    <w:rPr>
      <w:color w:val="0000ff"/>
      <w:u w:val="single"/>
    </w:rPr>
  </w:style>
  <w:style w:type="paragraph" w:styleId="952" w:customStyle="1">
    <w:name w:val="Заголовки без нумерации"/>
    <w:basedOn w:val="925"/>
    <w:next w:val="937"/>
    <w:pPr>
      <w:numPr>
        <w:ilvl w:val="0"/>
        <w:numId w:val="0"/>
      </w:numPr>
    </w:pPr>
  </w:style>
  <w:style w:type="paragraph" w:styleId="953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54">
    <w:name w:val="page number"/>
    <w:rPr>
      <w:iCs/>
      <w:sz w:val="28"/>
    </w:rPr>
  </w:style>
  <w:style w:type="paragraph" w:styleId="955">
    <w:name w:val="toc 4"/>
    <w:basedOn w:val="924"/>
    <w:next w:val="924"/>
    <w:semiHidden/>
    <w:pPr>
      <w:ind w:left="720"/>
    </w:pPr>
  </w:style>
  <w:style w:type="paragraph" w:styleId="956" w:customStyle="1">
    <w:name w:val="Таблица (10) - осн. текст"/>
    <w:basedOn w:val="924"/>
    <w:pPr>
      <w:ind w:firstLine="5"/>
      <w:jc w:val="left"/>
      <w:spacing w:after="60"/>
    </w:pPr>
    <w:rPr>
      <w:rFonts w:ascii="Arial" w:hAnsi="Arial"/>
      <w:sz w:val="20"/>
    </w:rPr>
  </w:style>
  <w:style w:type="paragraph" w:styleId="957" w:customStyle="1">
    <w:name w:val="Таблица (10) - список нум. 1"/>
    <w:basedOn w:val="956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58">
    <w:name w:val="toc 1"/>
    <w:basedOn w:val="924"/>
    <w:next w:val="924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59">
    <w:name w:val="toc 2"/>
    <w:basedOn w:val="924"/>
    <w:next w:val="924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60">
    <w:name w:val="toc 3"/>
    <w:basedOn w:val="924"/>
    <w:next w:val="924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61" w:customStyle="1">
    <w:name w:val="Текст примечания Знак"/>
    <w:link w:val="962"/>
    <w:semiHidden/>
    <w:rPr>
      <w:color w:val="000000"/>
    </w:rPr>
  </w:style>
  <w:style w:type="paragraph" w:styleId="962">
    <w:name w:val="annotation text"/>
    <w:basedOn w:val="924"/>
    <w:link w:val="961"/>
    <w:semiHidden/>
    <w:rPr>
      <w:sz w:val="20"/>
    </w:rPr>
  </w:style>
  <w:style w:type="paragraph" w:styleId="963" w:customStyle="1">
    <w:name w:val="Список маркированный уровень 1"/>
    <w:basedOn w:val="924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64" w:customStyle="1">
    <w:name w:val="Список маркированный уровень 2"/>
    <w:basedOn w:val="924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65">
    <w:name w:val="Normal (Web)"/>
    <w:basedOn w:val="924"/>
    <w:rPr>
      <w:szCs w:val="24"/>
    </w:rPr>
  </w:style>
  <w:style w:type="paragraph" w:styleId="966" w:customStyle="1">
    <w:name w:val="Список нумерованный"/>
    <w:basedOn w:val="924"/>
    <w:next w:val="924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67" w:customStyle="1">
    <w:name w:val="Таблица (10) - сп.марк.ур.1"/>
    <w:basedOn w:val="956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68">
    <w:name w:val="footnote text"/>
    <w:basedOn w:val="924"/>
    <w:semiHidden/>
    <w:rPr>
      <w:rFonts w:ascii="Arial" w:hAnsi="Arial"/>
      <w:sz w:val="20"/>
    </w:rPr>
  </w:style>
  <w:style w:type="character" w:styleId="969">
    <w:name w:val="footnote reference"/>
    <w:semiHidden/>
    <w:rPr>
      <w:vertAlign w:val="superscript"/>
    </w:rPr>
  </w:style>
  <w:style w:type="paragraph" w:styleId="970" w:customStyle="1">
    <w:name w:val="Таблица (10) - сп.марк.ур.2"/>
    <w:basedOn w:val="956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71" w:customStyle="1">
    <w:name w:val="Заголовок приложения"/>
    <w:basedOn w:val="925"/>
    <w:next w:val="924"/>
    <w:pPr>
      <w:numPr>
        <w:ilvl w:val="0"/>
        <w:numId w:val="0"/>
      </w:numPr>
      <w:jc w:val="right"/>
      <w:spacing w:before="0"/>
    </w:pPr>
  </w:style>
  <w:style w:type="paragraph" w:styleId="972">
    <w:name w:val="toc 5"/>
    <w:basedOn w:val="924"/>
    <w:next w:val="924"/>
    <w:semiHidden/>
    <w:pPr>
      <w:ind w:left="960"/>
    </w:pPr>
  </w:style>
  <w:style w:type="paragraph" w:styleId="973">
    <w:name w:val="toc 6"/>
    <w:basedOn w:val="924"/>
    <w:next w:val="924"/>
    <w:semiHidden/>
    <w:pPr>
      <w:ind w:left="1200"/>
    </w:pPr>
  </w:style>
  <w:style w:type="paragraph" w:styleId="974">
    <w:name w:val="toc 7"/>
    <w:basedOn w:val="924"/>
    <w:next w:val="924"/>
    <w:semiHidden/>
    <w:pPr>
      <w:ind w:left="1440"/>
    </w:pPr>
  </w:style>
  <w:style w:type="paragraph" w:styleId="975">
    <w:name w:val="toc 8"/>
    <w:basedOn w:val="924"/>
    <w:next w:val="924"/>
    <w:semiHidden/>
    <w:pPr>
      <w:ind w:left="1680"/>
    </w:pPr>
  </w:style>
  <w:style w:type="paragraph" w:styleId="976">
    <w:name w:val="toc 9"/>
    <w:basedOn w:val="924"/>
    <w:next w:val="924"/>
    <w:semiHidden/>
    <w:pPr>
      <w:ind w:left="1920"/>
    </w:pPr>
  </w:style>
  <w:style w:type="character" w:styleId="977">
    <w:name w:val="annotation reference"/>
    <w:uiPriority w:val="99"/>
    <w:semiHidden/>
    <w:rPr>
      <w:sz w:val="16"/>
      <w:szCs w:val="16"/>
    </w:rPr>
  </w:style>
  <w:style w:type="paragraph" w:styleId="978" w:customStyle="1">
    <w:name w:val="Основной текст (центр/одинарный)"/>
    <w:basedOn w:val="937"/>
    <w:link w:val="979"/>
    <w:pPr>
      <w:ind w:firstLine="0"/>
      <w:jc w:val="center"/>
      <w:spacing w:before="120" w:after="120"/>
    </w:pPr>
  </w:style>
  <w:style w:type="character" w:styleId="979" w:customStyle="1">
    <w:name w:val="Основной текст (центр/одинарный) Знак"/>
    <w:link w:val="978"/>
    <w:rPr>
      <w:color w:val="000000"/>
      <w:sz w:val="28"/>
    </w:rPr>
  </w:style>
  <w:style w:type="paragraph" w:styleId="980" w:customStyle="1">
    <w:name w:val="Список маркированный уровень 3"/>
    <w:basedOn w:val="924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81">
    <w:name w:val="Document Map"/>
    <w:basedOn w:val="924"/>
    <w:semiHidden/>
    <w:pPr>
      <w:shd w:val="clear" w:color="auto" w:fill="000080"/>
    </w:pPr>
    <w:rPr>
      <w:rFonts w:ascii="Tahoma" w:hAnsi="Tahoma" w:cs="Tahoma"/>
    </w:rPr>
  </w:style>
  <w:style w:type="paragraph" w:styleId="982" w:customStyle="1">
    <w:name w:val="Основной текст (без отступа)"/>
    <w:basedOn w:val="937"/>
    <w:pPr>
      <w:ind w:firstLine="0"/>
      <w:spacing w:before="120" w:after="120"/>
    </w:pPr>
  </w:style>
  <w:style w:type="paragraph" w:styleId="983">
    <w:name w:val="table of figures"/>
    <w:basedOn w:val="937"/>
    <w:next w:val="924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84" w:customStyle="1">
    <w:name w:val="Рисунок - наименование"/>
    <w:basedOn w:val="924"/>
    <w:pPr>
      <w:jc w:val="center"/>
      <w:spacing w:before="120" w:after="120"/>
    </w:pPr>
    <w:rPr>
      <w:bCs/>
      <w:sz w:val="28"/>
    </w:rPr>
  </w:style>
  <w:style w:type="paragraph" w:styleId="985" w:customStyle="1">
    <w:name w:val="Таблица (8) - осн. текст"/>
    <w:basedOn w:val="924"/>
    <w:pPr>
      <w:ind w:left="57" w:right="57"/>
      <w:jc w:val="left"/>
    </w:pPr>
    <w:rPr>
      <w:rFonts w:ascii="Arial" w:hAnsi="Arial" w:cs="Arial"/>
      <w:sz w:val="16"/>
    </w:rPr>
  </w:style>
  <w:style w:type="paragraph" w:styleId="986">
    <w:name w:val="Balloon Text"/>
    <w:basedOn w:val="924"/>
    <w:semiHidden/>
    <w:rPr>
      <w:rFonts w:ascii="Tahoma" w:hAnsi="Tahoma" w:cs="Tahoma"/>
      <w:sz w:val="16"/>
      <w:szCs w:val="16"/>
    </w:rPr>
  </w:style>
  <w:style w:type="paragraph" w:styleId="987" w:customStyle="1">
    <w:name w:val="Титульный лист - текст"/>
    <w:link w:val="1017"/>
    <w:rPr>
      <w:sz w:val="28"/>
    </w:rPr>
  </w:style>
  <w:style w:type="paragraph" w:styleId="988" w:customStyle="1">
    <w:name w:val="Список общий (ручная нумерация)"/>
    <w:basedOn w:val="937"/>
    <w:next w:val="924"/>
    <w:pPr>
      <w:ind w:left="851" w:hanging="284"/>
      <w:spacing w:before="120" w:after="120"/>
    </w:pPr>
  </w:style>
  <w:style w:type="paragraph" w:styleId="989">
    <w:name w:val="annotation subject"/>
    <w:basedOn w:val="962"/>
    <w:next w:val="962"/>
    <w:semiHidden/>
    <w:rPr>
      <w:b/>
      <w:bCs/>
    </w:rPr>
  </w:style>
  <w:style w:type="paragraph" w:styleId="990" w:customStyle="1">
    <w:name w:val="Нумерация"/>
    <w:basedOn w:val="924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91" w:customStyle="1">
    <w:name w:val="Пункт 3 уровня без нумерации"/>
    <w:basedOn w:val="945"/>
    <w:pPr>
      <w:numPr>
        <w:ilvl w:val="0"/>
        <w:numId w:val="0"/>
      </w:numPr>
      <w:ind w:firstLine="567"/>
    </w:pPr>
  </w:style>
  <w:style w:type="paragraph" w:styleId="992">
    <w:name w:val="index 1"/>
    <w:basedOn w:val="924"/>
    <w:next w:val="924"/>
    <w:semiHidden/>
    <w:pPr>
      <w:ind w:left="240" w:hanging="240"/>
    </w:pPr>
  </w:style>
  <w:style w:type="character" w:styleId="993" w:customStyle="1">
    <w:name w:val="Нижний колонтитул Знак"/>
    <w:semiHidden/>
    <w:rPr>
      <w:sz w:val="24"/>
      <w:szCs w:val="24"/>
      <w:lang w:eastAsia="en-US"/>
    </w:rPr>
  </w:style>
  <w:style w:type="table" w:styleId="994">
    <w:name w:val="Table Grid"/>
    <w:basedOn w:val="935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5" w:customStyle="1">
    <w:name w:val="Титльный лист - заголовок документа"/>
    <w:basedOn w:val="924"/>
    <w:pPr>
      <w:jc w:val="center"/>
    </w:pPr>
    <w:rPr>
      <w:rFonts w:ascii="Arial" w:hAnsi="Arial"/>
      <w:b/>
      <w:sz w:val="36"/>
    </w:rPr>
  </w:style>
  <w:style w:type="paragraph" w:styleId="996" w:customStyle="1">
    <w:name w:val="Титульный лист - название документа"/>
    <w:basedOn w:val="995"/>
    <w:link w:val="1000"/>
    <w:rPr>
      <w:b w:val="0"/>
    </w:rPr>
  </w:style>
  <w:style w:type="paragraph" w:styleId="997">
    <w:name w:val="endnote text"/>
    <w:basedOn w:val="924"/>
    <w:link w:val="998"/>
    <w:rPr>
      <w:sz w:val="20"/>
    </w:rPr>
  </w:style>
  <w:style w:type="character" w:styleId="998" w:customStyle="1">
    <w:name w:val="Текст концевой сноски Знак"/>
    <w:link w:val="997"/>
    <w:rPr>
      <w:color w:val="000000"/>
    </w:rPr>
  </w:style>
  <w:style w:type="character" w:styleId="999">
    <w:name w:val="endnote reference"/>
    <w:rPr>
      <w:vertAlign w:val="superscript"/>
    </w:rPr>
  </w:style>
  <w:style w:type="character" w:styleId="1000" w:customStyle="1">
    <w:name w:val="Титульный лист - название документа Знак"/>
    <w:link w:val="996"/>
    <w:rPr>
      <w:rFonts w:ascii="Arial" w:hAnsi="Arial"/>
      <w:color w:val="000000"/>
      <w:sz w:val="32"/>
    </w:rPr>
  </w:style>
  <w:style w:type="paragraph" w:styleId="1001" w:customStyle="1">
    <w:name w:val="Таблица (12) - Заголовки"/>
    <w:basedOn w:val="982"/>
    <w:qFormat/>
    <w:pPr>
      <w:jc w:val="left"/>
      <w:spacing w:before="60" w:after="60"/>
    </w:pPr>
    <w:rPr>
      <w:rFonts w:ascii="Arial" w:hAnsi="Arial" w:cs="Arial"/>
      <w:b/>
    </w:rPr>
  </w:style>
  <w:style w:type="paragraph" w:styleId="1002" w:customStyle="1">
    <w:name w:val="Таблица (12) - осн. текст"/>
    <w:basedOn w:val="982"/>
    <w:qFormat/>
    <w:pPr>
      <w:jc w:val="left"/>
      <w:spacing w:before="60" w:after="60"/>
    </w:pPr>
    <w:rPr>
      <w:sz w:val="24"/>
    </w:rPr>
  </w:style>
  <w:style w:type="table" w:styleId="1003" w:customStyle="1">
    <w:name w:val="Таблица (12)"/>
    <w:basedOn w:val="935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004">
    <w:name w:val="Table Elegant"/>
    <w:basedOn w:val="935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005">
    <w:name w:val="Table Web 1"/>
    <w:basedOn w:val="935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006">
    <w:name w:val="Light List"/>
    <w:basedOn w:val="935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007" w:customStyle="1">
    <w:name w:val="Выделение жирным шрифтом"/>
    <w:qFormat/>
    <w:rPr>
      <w:b/>
    </w:rPr>
  </w:style>
  <w:style w:type="character" w:styleId="1008" w:customStyle="1">
    <w:name w:val="Выделение курсивом"/>
    <w:qFormat/>
    <w:rPr>
      <w:i/>
    </w:rPr>
  </w:style>
  <w:style w:type="character" w:styleId="1009" w:customStyle="1">
    <w:name w:val="Выделение подчеркиванием"/>
    <w:qFormat/>
    <w:rPr>
      <w:u w:val="single"/>
    </w:rPr>
  </w:style>
  <w:style w:type="paragraph" w:styleId="1010">
    <w:name w:val="List Paragraph"/>
    <w:basedOn w:val="924"/>
    <w:uiPriority w:val="34"/>
    <w:qFormat/>
    <w:pPr>
      <w:ind w:left="708"/>
    </w:pPr>
    <w:rPr>
      <w:sz w:val="28"/>
    </w:rPr>
  </w:style>
  <w:style w:type="character" w:styleId="1011" w:customStyle="1">
    <w:name w:val="Заголовок 2 Знак"/>
    <w:link w:val="926"/>
    <w:rPr>
      <w:rFonts w:ascii="Arial" w:hAnsi="Arial"/>
      <w:b/>
      <w:bCs/>
      <w:color w:val="000000"/>
      <w:sz w:val="32"/>
    </w:rPr>
  </w:style>
  <w:style w:type="paragraph" w:styleId="1012">
    <w:name w:val="Caption"/>
    <w:basedOn w:val="924"/>
    <w:next w:val="924"/>
    <w:rPr>
      <w:bCs/>
      <w:sz w:val="28"/>
    </w:rPr>
  </w:style>
  <w:style w:type="character" w:styleId="1013" w:customStyle="1">
    <w:name w:val="я_Технический стиль 1 Знак"/>
    <w:link w:val="1014"/>
    <w:rPr>
      <w:rFonts w:ascii="Arial" w:hAnsi="Arial" w:cs="Arial"/>
      <w:b/>
      <w:bCs/>
      <w:color w:val="000000"/>
      <w:sz w:val="24"/>
      <w:szCs w:val="24"/>
    </w:rPr>
  </w:style>
  <w:style w:type="paragraph" w:styleId="1014" w:customStyle="1">
    <w:name w:val="я_Технический стиль 1"/>
    <w:basedOn w:val="924"/>
    <w:link w:val="1013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1015" w:customStyle="1">
    <w:name w:val="я_Технический стиль 2"/>
    <w:basedOn w:val="987"/>
    <w:link w:val="1018"/>
    <w:qFormat/>
    <w:rPr>
      <w:rFonts w:cs="Arial"/>
      <w:u w:val="single"/>
    </w:rPr>
  </w:style>
  <w:style w:type="paragraph" w:styleId="1016" w:customStyle="1">
    <w:name w:val="я_Технический стиль 3"/>
    <w:basedOn w:val="987"/>
    <w:link w:val="1019"/>
    <w:qFormat/>
    <w:rPr>
      <w:rFonts w:ascii="Arial" w:hAnsi="Arial" w:cs="Arial"/>
      <w:b/>
    </w:rPr>
  </w:style>
  <w:style w:type="character" w:styleId="1017" w:customStyle="1">
    <w:name w:val="Титульный лист - текст Знак"/>
    <w:link w:val="987"/>
    <w:rPr>
      <w:sz w:val="28"/>
    </w:rPr>
  </w:style>
  <w:style w:type="character" w:styleId="1018" w:customStyle="1">
    <w:name w:val="я_Технический стиль 2 Знак"/>
    <w:link w:val="1015"/>
    <w:rPr>
      <w:rFonts w:cs="Arial"/>
      <w:sz w:val="24"/>
      <w:u w:val="single"/>
    </w:rPr>
  </w:style>
  <w:style w:type="character" w:styleId="1019" w:customStyle="1">
    <w:name w:val="я_Технический стиль 3 Знак"/>
    <w:link w:val="1016"/>
    <w:rPr>
      <w:rFonts w:ascii="Arial" w:hAnsi="Arial" w:cs="Arial"/>
      <w:b/>
      <w:sz w:val="24"/>
    </w:rPr>
  </w:style>
  <w:style w:type="character" w:styleId="1020" w:customStyle="1">
    <w:name w:val="Пункт 2 уровня Знак"/>
    <w:link w:val="944"/>
    <w:rPr>
      <w:rFonts w:ascii="Arial" w:hAnsi="Arial"/>
      <w:b w:val="0"/>
      <w:bCs/>
      <w:color w:val="000000"/>
      <w:sz w:val="28"/>
    </w:rPr>
  </w:style>
  <w:style w:type="character" w:styleId="1021" w:customStyle="1">
    <w:name w:val="Выделение цветом (желтый)"/>
    <w:qFormat/>
    <w:rPr>
      <w:shd w:val="clear" w:color="auto" w:fill="ffff00"/>
    </w:rPr>
  </w:style>
  <w:style w:type="character" w:styleId="1022" w:customStyle="1">
    <w:name w:val="Заголовок 8 Знак"/>
    <w:link w:val="932"/>
    <w:semiHidden/>
    <w:rPr>
      <w:rFonts w:ascii="Calibri" w:hAnsi="Calibri" w:eastAsia="Times New Roman" w:cs="Times New Roman"/>
      <w:i/>
      <w:iCs/>
      <w:color w:val="000000"/>
      <w:sz w:val="24"/>
      <w:szCs w:val="24"/>
    </w:rPr>
  </w:style>
  <w:style w:type="character" w:styleId="1023" w:customStyle="1">
    <w:name w:val="Заголовок 9 Знак"/>
    <w:link w:val="933"/>
    <w:semiHidden/>
    <w:rPr>
      <w:rFonts w:ascii="Calibri Light" w:hAnsi="Calibri Light" w:eastAsia="Times New Roman" w:cs="Times New Roman"/>
      <w:color w:val="000000"/>
      <w:sz w:val="22"/>
      <w:szCs w:val="22"/>
    </w:rPr>
  </w:style>
  <w:style w:type="paragraph" w:styleId="1024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customXml" Target="../customXml/item2.xml" /><Relationship Id="rId17" Type="http://schemas.openxmlformats.org/officeDocument/2006/relationships/customXml" Target="../customXml/item3.xml" /><Relationship Id="rId18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E7948-DF16-4DAA-9122-7F236F3C9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1C466-4C96-45A5-A765-A6E9E30A1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67F20-AEC4-44A7-A0DC-F1533B6590C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f38f20b2-d46c-43ff-8764-f543badc1528"/>
    <ds:schemaRef ds:uri="http://schemas.openxmlformats.org/package/2006/metadata/core-properties"/>
    <ds:schemaRef ds:uri="7963508c-c23e-4e15-b9d8-258925b385a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6B5A81-7119-44A9-8187-AF6E9710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2023-04-28T09:18:00Z</dcterms:created>
  <dcterms:modified xsi:type="dcterms:W3CDTF">2023-12-06T13:43:49Z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